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714"/>
        <w:gridCol w:w="5573"/>
      </w:tblGrid>
      <w:tr w:rsidR="0024285F" w:rsidRPr="0024285F" w:rsidTr="0024285F">
        <w:trPr>
          <w:trHeight w:val="1632"/>
        </w:trPr>
        <w:tc>
          <w:tcPr>
            <w:tcW w:w="3848" w:type="dxa"/>
            <w:tcMar>
              <w:top w:w="0" w:type="dxa"/>
              <w:left w:w="108" w:type="dxa"/>
              <w:bottom w:w="0" w:type="dxa"/>
              <w:right w:w="108" w:type="dxa"/>
            </w:tcMar>
            <w:hideMark/>
          </w:tcPr>
          <w:p w:rsidR="0024285F" w:rsidRPr="0024285F" w:rsidRDefault="0024285F" w:rsidP="0024285F">
            <w:pPr>
              <w:spacing w:after="140"/>
              <w:rPr>
                <w:rFonts w:eastAsia="Times New Roman" w:cs="Times New Roman"/>
                <w:color w:val="314163"/>
                <w:sz w:val="24"/>
                <w:szCs w:val="24"/>
                <w:lang w:eastAsia="vi-VN"/>
              </w:rPr>
            </w:pPr>
            <w:r w:rsidRPr="0024285F">
              <w:rPr>
                <w:rFonts w:eastAsia="Times New Roman" w:cs="Times New Roman"/>
                <w:b/>
                <w:bCs/>
                <w:color w:val="314163"/>
                <w:sz w:val="16"/>
                <w:szCs w:val="16"/>
                <w:lang w:eastAsia="vi-VN"/>
              </w:rPr>
              <w:t>UỶ BAN NHÂN DÂN</w:t>
            </w:r>
          </w:p>
          <w:p w:rsidR="0024285F" w:rsidRPr="0024285F" w:rsidRDefault="0024285F" w:rsidP="0024285F">
            <w:pPr>
              <w:spacing w:after="140"/>
              <w:rPr>
                <w:rFonts w:eastAsia="Times New Roman" w:cs="Times New Roman"/>
                <w:color w:val="314163"/>
                <w:sz w:val="24"/>
                <w:szCs w:val="24"/>
                <w:lang w:eastAsia="vi-VN"/>
              </w:rPr>
            </w:pPr>
            <w:r w:rsidRPr="0024285F">
              <w:rPr>
                <w:rFonts w:eastAsia="Times New Roman" w:cs="Times New Roman"/>
                <w:b/>
                <w:bCs/>
                <w:color w:val="314163"/>
                <w:sz w:val="16"/>
                <w:szCs w:val="16"/>
                <w:lang w:eastAsia="vi-VN"/>
              </w:rPr>
              <w:t>TỈNH HẢI DƯƠNG</w:t>
            </w:r>
          </w:p>
          <w:p w:rsidR="0024285F" w:rsidRPr="0024285F" w:rsidRDefault="0024285F" w:rsidP="0024285F">
            <w:pPr>
              <w:spacing w:after="140"/>
              <w:rPr>
                <w:rFonts w:eastAsia="Times New Roman" w:cs="Times New Roman"/>
                <w:color w:val="314163"/>
                <w:sz w:val="24"/>
                <w:szCs w:val="24"/>
                <w:lang w:eastAsia="vi-VN"/>
              </w:rPr>
            </w:pPr>
            <w:r w:rsidRPr="0024285F">
              <w:rPr>
                <w:rFonts w:eastAsia="Times New Roman" w:cs="Times New Roman"/>
                <w:b/>
                <w:bCs/>
                <w:color w:val="314163"/>
                <w:sz w:val="16"/>
                <w:szCs w:val="16"/>
                <w:lang w:eastAsia="vi-VN"/>
              </w:rPr>
              <w:t> </w:t>
            </w:r>
            <w:r w:rsidRPr="0024285F">
              <w:rPr>
                <w:rFonts w:eastAsia="Times New Roman" w:cs="Times New Roman"/>
                <w:color w:val="314163"/>
                <w:sz w:val="16"/>
                <w:szCs w:val="16"/>
                <w:lang w:eastAsia="vi-VN"/>
              </w:rPr>
              <w:t>Số: 3259 /QĐ-UBND</w:t>
            </w:r>
          </w:p>
        </w:tc>
        <w:tc>
          <w:tcPr>
            <w:tcW w:w="5797" w:type="dxa"/>
            <w:tcMar>
              <w:top w:w="0" w:type="dxa"/>
              <w:left w:w="108" w:type="dxa"/>
              <w:bottom w:w="0" w:type="dxa"/>
              <w:right w:w="108" w:type="dxa"/>
            </w:tcMar>
            <w:hideMark/>
          </w:tcPr>
          <w:p w:rsidR="0024285F" w:rsidRDefault="0024285F" w:rsidP="0024285F">
            <w:pPr>
              <w:spacing w:before="100" w:beforeAutospacing="1" w:after="100" w:afterAutospacing="1"/>
              <w:outlineLvl w:val="0"/>
              <w:rPr>
                <w:rFonts w:ascii="Segoe UI Light" w:eastAsia="Times New Roman" w:hAnsi="Segoe UI Light" w:cs="Arial"/>
                <w:color w:val="0072C6"/>
                <w:kern w:val="36"/>
                <w:sz w:val="48"/>
                <w:szCs w:val="48"/>
                <w:lang w:val="en-US" w:eastAsia="vi-VN"/>
              </w:rPr>
            </w:pPr>
            <w:r w:rsidRPr="0024285F">
              <w:rPr>
                <w:rFonts w:ascii="Segoe UI Light" w:eastAsia="Times New Roman" w:hAnsi="Segoe UI Light" w:cs="Arial"/>
                <w:color w:val="0072C6"/>
                <w:kern w:val="36"/>
                <w:sz w:val="16"/>
                <w:szCs w:val="16"/>
                <w:lang w:eastAsia="vi-VN"/>
              </w:rPr>
              <w:t xml:space="preserve">                                                      CỘNG HOÀ XÃ HỘI CHỦ NGHĨA VIỆT NAM</w:t>
            </w:r>
            <w:r w:rsidRPr="0024285F">
              <w:rPr>
                <w:rFonts w:ascii="Segoe UI Light" w:eastAsia="Times New Roman" w:hAnsi="Segoe UI Light" w:cs="Arial"/>
                <w:color w:val="0072C6"/>
                <w:kern w:val="36"/>
                <w:sz w:val="48"/>
                <w:szCs w:val="48"/>
                <w:lang w:eastAsia="vi-VN"/>
              </w:rPr>
              <w:t xml:space="preserve">                        </w:t>
            </w:r>
          </w:p>
          <w:p w:rsidR="0024285F" w:rsidRDefault="0024285F" w:rsidP="0024285F">
            <w:pPr>
              <w:spacing w:before="100" w:beforeAutospacing="1" w:after="100" w:afterAutospacing="1"/>
              <w:outlineLvl w:val="0"/>
              <w:rPr>
                <w:rFonts w:ascii="Segoe UI" w:eastAsia="Times New Roman" w:hAnsi="Segoe UI" w:cs="Segoe UI"/>
                <w:color w:val="0072C6"/>
                <w:sz w:val="16"/>
                <w:szCs w:val="16"/>
                <w:lang w:val="en-US" w:eastAsia="vi-VN"/>
              </w:rPr>
            </w:pPr>
            <w:r>
              <w:rPr>
                <w:rFonts w:ascii="Segoe UI Light" w:eastAsia="Times New Roman" w:hAnsi="Segoe UI Light" w:cs="Arial"/>
                <w:color w:val="0072C6"/>
                <w:kern w:val="36"/>
                <w:sz w:val="48"/>
                <w:szCs w:val="48"/>
                <w:lang w:val="en-US" w:eastAsia="vi-VN"/>
              </w:rPr>
              <w:t xml:space="preserve">                     </w:t>
            </w:r>
            <w:r w:rsidRPr="0024285F">
              <w:rPr>
                <w:rFonts w:ascii="Segoe UI" w:eastAsia="Times New Roman" w:hAnsi="Segoe UI" w:cs="Segoe UI"/>
                <w:color w:val="0072C6"/>
                <w:sz w:val="16"/>
                <w:szCs w:val="16"/>
                <w:lang w:eastAsia="vi-VN"/>
              </w:rPr>
              <w:t>Độc lập - Tự do - Hạnh phúc</w:t>
            </w:r>
          </w:p>
          <w:p w:rsidR="0024285F" w:rsidRPr="0024285F" w:rsidRDefault="0024285F" w:rsidP="0024285F">
            <w:pPr>
              <w:spacing w:before="100" w:beforeAutospacing="1" w:after="100" w:afterAutospacing="1"/>
              <w:outlineLvl w:val="0"/>
              <w:rPr>
                <w:rFonts w:ascii="Segoe UI Light" w:eastAsia="Times New Roman" w:hAnsi="Segoe UI Light" w:cs="Arial"/>
                <w:color w:val="0072C6"/>
                <w:kern w:val="36"/>
                <w:sz w:val="48"/>
                <w:szCs w:val="48"/>
                <w:lang w:val="en-US" w:eastAsia="vi-VN"/>
              </w:rPr>
            </w:pPr>
            <w:r>
              <w:rPr>
                <w:rFonts w:ascii="Segoe UI" w:eastAsia="Times New Roman" w:hAnsi="Segoe UI" w:cs="Segoe UI"/>
                <w:color w:val="0072C6"/>
                <w:sz w:val="16"/>
                <w:szCs w:val="16"/>
                <w:lang w:val="en-US" w:eastAsia="vi-VN"/>
              </w:rPr>
              <w:t xml:space="preserve">                                                 </w:t>
            </w:r>
            <w:r w:rsidRPr="0024285F">
              <w:rPr>
                <w:rFonts w:eastAsia="Times New Roman" w:cs="Times New Roman"/>
                <w:i/>
                <w:iCs/>
                <w:color w:val="314163"/>
                <w:sz w:val="16"/>
                <w:szCs w:val="16"/>
                <w:lang w:eastAsia="vi-VN"/>
              </w:rPr>
              <w:t> </w:t>
            </w:r>
            <w:r w:rsidRPr="0024285F">
              <w:rPr>
                <w:rFonts w:eastAsia="Times New Roman" w:cs="Times New Roman"/>
                <w:color w:val="314163"/>
                <w:sz w:val="16"/>
                <w:szCs w:val="16"/>
                <w:lang w:eastAsia="vi-VN"/>
              </w:rPr>
              <w:t>Hải Dương, ngày 29 tháng 11  năm 2011</w:t>
            </w:r>
          </w:p>
          <w:p w:rsidR="0024285F" w:rsidRPr="0024285F" w:rsidRDefault="0024285F" w:rsidP="0024285F">
            <w:pPr>
              <w:spacing w:after="140"/>
              <w:jc w:val="both"/>
              <w:rPr>
                <w:rFonts w:eastAsia="Times New Roman" w:cs="Times New Roman"/>
                <w:color w:val="314163"/>
                <w:sz w:val="24"/>
                <w:szCs w:val="24"/>
                <w:lang w:eastAsia="vi-VN"/>
              </w:rPr>
            </w:pPr>
            <w:r w:rsidRPr="0024285F">
              <w:rPr>
                <w:rFonts w:eastAsia="Times New Roman" w:cs="Times New Roman"/>
                <w:color w:val="314163"/>
                <w:sz w:val="16"/>
                <w:szCs w:val="16"/>
                <w:lang w:eastAsia="vi-VN"/>
              </w:rPr>
              <w:t> </w:t>
            </w:r>
          </w:p>
        </w:tc>
      </w:tr>
    </w:tbl>
    <w:p w:rsidR="0024285F" w:rsidRPr="0024285F" w:rsidRDefault="0024285F" w:rsidP="0024285F">
      <w:pPr>
        <w:spacing w:after="140"/>
        <w:ind w:hanging="709"/>
        <w:jc w:val="center"/>
        <w:rPr>
          <w:rFonts w:ascii="Arial" w:eastAsia="Times New Roman" w:hAnsi="Arial" w:cs="Arial"/>
          <w:color w:val="314163"/>
          <w:sz w:val="21"/>
          <w:szCs w:val="21"/>
          <w:lang w:eastAsia="vi-VN"/>
        </w:rPr>
      </w:pPr>
      <w:r w:rsidRPr="0024285F">
        <w:rPr>
          <w:rFonts w:ascii="Arial" w:eastAsia="Times New Roman" w:hAnsi="Arial" w:cs="Arial"/>
          <w:color w:val="314163"/>
          <w:sz w:val="16"/>
          <w:szCs w:val="16"/>
          <w:lang w:eastAsia="vi-VN"/>
        </w:rPr>
        <w:t> </w:t>
      </w:r>
      <w:r w:rsidRPr="0024285F">
        <w:rPr>
          <w:rFonts w:ascii="Arial" w:eastAsia="Times New Roman" w:hAnsi="Arial" w:cs="Arial"/>
          <w:b/>
          <w:bCs/>
          <w:color w:val="314163"/>
          <w:sz w:val="20"/>
          <w:lang w:eastAsia="vi-VN"/>
        </w:rPr>
        <w:t>QUYẾT ĐỊNH</w:t>
      </w:r>
    </w:p>
    <w:p w:rsidR="0024285F" w:rsidRPr="0024285F" w:rsidRDefault="0024285F" w:rsidP="0024285F">
      <w:pPr>
        <w:spacing w:after="140"/>
        <w:jc w:val="center"/>
        <w:rPr>
          <w:rFonts w:ascii="Arial" w:eastAsia="Times New Roman" w:hAnsi="Arial" w:cs="Arial"/>
          <w:color w:val="314163"/>
          <w:sz w:val="21"/>
          <w:szCs w:val="21"/>
          <w:lang w:eastAsia="vi-VN"/>
        </w:rPr>
      </w:pPr>
      <w:r w:rsidRPr="0024285F">
        <w:rPr>
          <w:rFonts w:ascii="Arial" w:eastAsia="Times New Roman" w:hAnsi="Arial" w:cs="Arial"/>
          <w:b/>
          <w:bCs/>
          <w:color w:val="314163"/>
          <w:sz w:val="20"/>
          <w:szCs w:val="20"/>
          <w:lang w:eastAsia="vi-VN"/>
        </w:rPr>
        <w:t>V/v Công nhận và cấp thẻ Báo cáo viên pháp luật</w:t>
      </w:r>
    </w:p>
    <w:p w:rsidR="0024285F" w:rsidRPr="0024285F" w:rsidRDefault="0024285F" w:rsidP="0024285F">
      <w:pPr>
        <w:spacing w:before="720" w:after="240"/>
        <w:jc w:val="center"/>
        <w:outlineLvl w:val="1"/>
        <w:rPr>
          <w:rFonts w:ascii="Segoe UI" w:eastAsia="Times New Roman" w:hAnsi="Segoe UI" w:cs="Segoe UI"/>
          <w:color w:val="0072C6"/>
          <w:sz w:val="35"/>
          <w:szCs w:val="35"/>
          <w:lang w:eastAsia="vi-VN"/>
        </w:rPr>
      </w:pPr>
      <w:r w:rsidRPr="0024285F">
        <w:rPr>
          <w:rFonts w:ascii="Segoe UI" w:eastAsia="Times New Roman" w:hAnsi="Segoe UI" w:cs="Segoe UI"/>
          <w:color w:val="0072C6"/>
          <w:sz w:val="20"/>
          <w:szCs w:val="20"/>
          <w:lang w:eastAsia="vi-VN"/>
        </w:rPr>
        <w:t>CHỦ TỊCH UỶ BAN NHÂN DÂN TỈNH HẢI DƯƠNG</w:t>
      </w:r>
    </w:p>
    <w:p w:rsidR="0024285F" w:rsidRPr="0024285F" w:rsidRDefault="0024285F" w:rsidP="0024285F">
      <w:pPr>
        <w:spacing w:before="60" w:after="60" w:line="360" w:lineRule="atLeast"/>
        <w:jc w:val="both"/>
        <w:rPr>
          <w:rFonts w:ascii="Arial" w:eastAsia="Times New Roman" w:hAnsi="Arial" w:cs="Arial"/>
          <w:color w:val="314163"/>
          <w:sz w:val="21"/>
          <w:szCs w:val="21"/>
          <w:lang w:eastAsia="vi-VN"/>
        </w:rPr>
      </w:pPr>
      <w:r w:rsidRPr="0024285F">
        <w:rPr>
          <w:rFonts w:ascii="Arial" w:eastAsia="Times New Roman" w:hAnsi="Arial" w:cs="Arial"/>
          <w:color w:val="314163"/>
          <w:sz w:val="20"/>
          <w:szCs w:val="20"/>
          <w:lang w:eastAsia="vi-VN"/>
        </w:rPr>
        <w:t>            Căn cứ Luật tổ chức HĐND&amp;UBND ngày 26/11/2003;</w:t>
      </w:r>
    </w:p>
    <w:p w:rsidR="0024285F" w:rsidRPr="0024285F" w:rsidRDefault="0024285F" w:rsidP="0024285F">
      <w:pPr>
        <w:spacing w:before="60" w:after="60"/>
        <w:ind w:firstLine="720"/>
        <w:jc w:val="both"/>
        <w:rPr>
          <w:rFonts w:ascii="Arial" w:eastAsia="Times New Roman" w:hAnsi="Arial" w:cs="Arial"/>
          <w:color w:val="314163"/>
          <w:sz w:val="21"/>
          <w:szCs w:val="21"/>
          <w:lang w:eastAsia="vi-VN"/>
        </w:rPr>
      </w:pPr>
      <w:r w:rsidRPr="0024285F">
        <w:rPr>
          <w:rFonts w:ascii="Arial" w:eastAsia="Times New Roman" w:hAnsi="Arial" w:cs="Arial"/>
          <w:color w:val="314163"/>
          <w:sz w:val="20"/>
          <w:szCs w:val="20"/>
          <w:lang w:eastAsia="vi-VN"/>
        </w:rPr>
        <w:t>Căn cứ Thông tư số 18/2010/TT-BTP ngày 05 tháng 10 năm 2010 của Bộ Tư pháp quy định về Báo cáo viên pháp luật</w:t>
      </w:r>
    </w:p>
    <w:p w:rsidR="0024285F" w:rsidRPr="0024285F" w:rsidRDefault="0024285F" w:rsidP="0024285F">
      <w:pPr>
        <w:spacing w:before="60" w:after="60" w:line="360" w:lineRule="atLeast"/>
        <w:ind w:left="720"/>
        <w:jc w:val="both"/>
        <w:rPr>
          <w:rFonts w:ascii="Arial" w:eastAsia="Times New Roman" w:hAnsi="Arial" w:cs="Arial"/>
          <w:color w:val="314163"/>
          <w:sz w:val="21"/>
          <w:szCs w:val="21"/>
          <w:lang w:eastAsia="vi-VN"/>
        </w:rPr>
      </w:pPr>
      <w:r w:rsidRPr="0024285F">
        <w:rPr>
          <w:rFonts w:ascii="Arial" w:eastAsia="Times New Roman" w:hAnsi="Arial" w:cs="Arial"/>
          <w:color w:val="314163"/>
          <w:sz w:val="20"/>
          <w:szCs w:val="20"/>
          <w:lang w:eastAsia="vi-VN"/>
        </w:rPr>
        <w:t>Xét đề nghị của Giám đốc Sở Tư pháp;</w:t>
      </w:r>
    </w:p>
    <w:p w:rsidR="0024285F" w:rsidRPr="0024285F" w:rsidRDefault="0024285F" w:rsidP="0024285F">
      <w:pPr>
        <w:spacing w:after="140"/>
        <w:ind w:left="720" w:hanging="720"/>
        <w:jc w:val="center"/>
        <w:rPr>
          <w:rFonts w:ascii="Arial" w:eastAsia="Times New Roman" w:hAnsi="Arial" w:cs="Arial"/>
          <w:color w:val="314163"/>
          <w:sz w:val="21"/>
          <w:szCs w:val="21"/>
          <w:lang w:eastAsia="vi-VN"/>
        </w:rPr>
      </w:pPr>
      <w:r w:rsidRPr="0024285F">
        <w:rPr>
          <w:rFonts w:ascii="Arial" w:eastAsia="Times New Roman" w:hAnsi="Arial" w:cs="Arial"/>
          <w:color w:val="314163"/>
          <w:sz w:val="20"/>
          <w:szCs w:val="20"/>
          <w:lang w:eastAsia="vi-VN"/>
        </w:rPr>
        <w:t> </w:t>
      </w:r>
      <w:r w:rsidRPr="0024285F">
        <w:rPr>
          <w:rFonts w:ascii="Arial" w:eastAsia="Times New Roman" w:hAnsi="Arial" w:cs="Arial"/>
          <w:color w:val="314163"/>
          <w:sz w:val="24"/>
          <w:szCs w:val="24"/>
          <w:lang w:eastAsia="vi-VN"/>
        </w:rPr>
        <w:t>QUYẾT ĐỊNH</w:t>
      </w:r>
    </w:p>
    <w:p w:rsidR="0024285F" w:rsidRPr="0024285F" w:rsidRDefault="0024285F" w:rsidP="0024285F">
      <w:pPr>
        <w:spacing w:after="140"/>
        <w:jc w:val="both"/>
        <w:rPr>
          <w:rFonts w:ascii="Arial" w:eastAsia="Times New Roman" w:hAnsi="Arial" w:cs="Arial"/>
          <w:color w:val="314163"/>
          <w:sz w:val="21"/>
          <w:szCs w:val="21"/>
          <w:lang w:eastAsia="vi-VN"/>
        </w:rPr>
      </w:pPr>
      <w:r w:rsidRPr="0024285F">
        <w:rPr>
          <w:rFonts w:ascii="Arial" w:eastAsia="Times New Roman" w:hAnsi="Arial" w:cs="Arial"/>
          <w:color w:val="314163"/>
          <w:sz w:val="16"/>
          <w:szCs w:val="16"/>
          <w:lang w:eastAsia="vi-VN"/>
        </w:rPr>
        <w:t>                </w:t>
      </w:r>
      <w:r w:rsidRPr="0024285F">
        <w:rPr>
          <w:rFonts w:ascii="Arial" w:eastAsia="Times New Roman" w:hAnsi="Arial" w:cs="Arial"/>
          <w:b/>
          <w:bCs/>
          <w:color w:val="314163"/>
          <w:sz w:val="20"/>
          <w:szCs w:val="20"/>
          <w:lang w:eastAsia="vi-VN"/>
        </w:rPr>
        <w:t>Điều 1.</w:t>
      </w:r>
      <w:r w:rsidRPr="0024285F">
        <w:rPr>
          <w:rFonts w:ascii="Arial" w:eastAsia="Times New Roman" w:hAnsi="Arial" w:cs="Arial"/>
          <w:color w:val="314163"/>
          <w:sz w:val="20"/>
          <w:szCs w:val="20"/>
          <w:lang w:eastAsia="vi-VN"/>
        </w:rPr>
        <w:t> Công nhận và cấp thẻ Báo cáo viên pháp luật cho 45 ông, bà có tên trong danh sách kèm theo.</w:t>
      </w:r>
    </w:p>
    <w:p w:rsidR="0024285F" w:rsidRPr="0024285F" w:rsidRDefault="0024285F" w:rsidP="0024285F">
      <w:pPr>
        <w:spacing w:before="60" w:after="60" w:line="360" w:lineRule="atLeast"/>
        <w:ind w:firstLine="748"/>
        <w:jc w:val="both"/>
        <w:rPr>
          <w:rFonts w:ascii="Arial" w:eastAsia="Times New Roman" w:hAnsi="Arial" w:cs="Arial"/>
          <w:color w:val="314163"/>
          <w:sz w:val="21"/>
          <w:szCs w:val="21"/>
          <w:lang w:eastAsia="vi-VN"/>
        </w:rPr>
      </w:pPr>
      <w:r w:rsidRPr="0024285F">
        <w:rPr>
          <w:rFonts w:ascii="Arial" w:eastAsia="Times New Roman" w:hAnsi="Arial" w:cs="Arial"/>
          <w:b/>
          <w:bCs/>
          <w:color w:val="314163"/>
          <w:sz w:val="20"/>
          <w:szCs w:val="20"/>
          <w:lang w:eastAsia="vi-VN"/>
        </w:rPr>
        <w:t>Điều 2.</w:t>
      </w:r>
      <w:r w:rsidRPr="0024285F">
        <w:rPr>
          <w:rFonts w:ascii="Arial" w:eastAsia="Times New Roman" w:hAnsi="Arial" w:cs="Arial"/>
          <w:color w:val="314163"/>
          <w:sz w:val="20"/>
          <w:szCs w:val="20"/>
          <w:lang w:eastAsia="vi-VN"/>
        </w:rPr>
        <w:t> Báo cáo viên pháp luật cấp tỉnh chịu sự quản lý và phân công của Sở Tư pháp trong công tác phổ biến pháp luật  Có quyền, nghĩa vụ và hoạt động theo Quy định tại Thông tư số 18/2010/TT-BTP ngày 05 tháng 10 năm 2010 của Bộ Tư pháp quy định về Báo cáo viên pháp luật</w:t>
      </w:r>
    </w:p>
    <w:p w:rsidR="0024285F" w:rsidRPr="0024285F" w:rsidRDefault="0024285F" w:rsidP="0024285F">
      <w:pPr>
        <w:spacing w:before="60" w:after="60" w:line="360" w:lineRule="atLeast"/>
        <w:ind w:firstLine="748"/>
        <w:jc w:val="both"/>
        <w:rPr>
          <w:rFonts w:ascii="Arial" w:eastAsia="Times New Roman" w:hAnsi="Arial" w:cs="Arial"/>
          <w:color w:val="314163"/>
          <w:sz w:val="21"/>
          <w:szCs w:val="21"/>
          <w:lang w:eastAsia="vi-VN"/>
        </w:rPr>
      </w:pPr>
      <w:r w:rsidRPr="0024285F">
        <w:rPr>
          <w:rFonts w:ascii="Arial" w:eastAsia="Times New Roman" w:hAnsi="Arial" w:cs="Arial"/>
          <w:b/>
          <w:bCs/>
          <w:color w:val="314163"/>
          <w:sz w:val="20"/>
          <w:szCs w:val="20"/>
          <w:lang w:eastAsia="vi-VN"/>
        </w:rPr>
        <w:t>Điều 3.</w:t>
      </w:r>
      <w:r w:rsidRPr="0024285F">
        <w:rPr>
          <w:rFonts w:ascii="Arial" w:eastAsia="Times New Roman" w:hAnsi="Arial" w:cs="Arial"/>
          <w:color w:val="314163"/>
          <w:sz w:val="20"/>
          <w:szCs w:val="20"/>
          <w:lang w:eastAsia="vi-VN"/>
        </w:rPr>
        <w:t> Quyết định này có hiệu lực kể từ ngày ký, thay thế Quyết định số 4524/QĐ-UBND ngày 25/12/2009 của Chủ tịch UBND tỉnh.</w:t>
      </w:r>
    </w:p>
    <w:p w:rsidR="0024285F" w:rsidRPr="0024285F" w:rsidRDefault="0024285F" w:rsidP="0024285F">
      <w:pPr>
        <w:spacing w:before="60" w:after="60" w:line="360" w:lineRule="atLeast"/>
        <w:ind w:firstLine="748"/>
        <w:jc w:val="both"/>
        <w:rPr>
          <w:rFonts w:ascii="Arial" w:eastAsia="Times New Roman" w:hAnsi="Arial" w:cs="Arial"/>
          <w:color w:val="314163"/>
          <w:sz w:val="21"/>
          <w:szCs w:val="21"/>
          <w:lang w:eastAsia="vi-VN"/>
        </w:rPr>
      </w:pPr>
      <w:r w:rsidRPr="0024285F">
        <w:rPr>
          <w:rFonts w:ascii="Arial" w:eastAsia="Times New Roman" w:hAnsi="Arial" w:cs="Arial"/>
          <w:color w:val="314163"/>
          <w:sz w:val="20"/>
          <w:szCs w:val="20"/>
          <w:lang w:eastAsia="vi-VN"/>
        </w:rPr>
        <w:t>Chánh Văn phòng UBND tỉnh, Giám đốc Sở Tư pháp, Giám đốc Sở Tài chính, Thủ trưởng các ngành, đoàn thể có liên quan và các ông, bà có tên trong danh sách tại Điều 1 căn cứ Quyết định thi hành.</w:t>
      </w:r>
    </w:p>
    <w:tbl>
      <w:tblPr>
        <w:tblW w:w="0" w:type="auto"/>
        <w:tblInd w:w="108" w:type="dxa"/>
        <w:tblCellMar>
          <w:left w:w="0" w:type="dxa"/>
          <w:right w:w="0" w:type="dxa"/>
        </w:tblCellMar>
        <w:tblLook w:val="04A0"/>
      </w:tblPr>
      <w:tblGrid>
        <w:gridCol w:w="4760"/>
        <w:gridCol w:w="4397"/>
      </w:tblGrid>
      <w:tr w:rsidR="0024285F" w:rsidRPr="0024285F" w:rsidTr="0024285F">
        <w:tc>
          <w:tcPr>
            <w:tcW w:w="4760" w:type="dxa"/>
            <w:tcMar>
              <w:top w:w="0" w:type="dxa"/>
              <w:left w:w="108" w:type="dxa"/>
              <w:bottom w:w="0" w:type="dxa"/>
              <w:right w:w="108" w:type="dxa"/>
            </w:tcMar>
            <w:hideMark/>
          </w:tcPr>
          <w:p w:rsidR="0024285F" w:rsidRPr="0024285F" w:rsidRDefault="0024285F" w:rsidP="0024285F">
            <w:pPr>
              <w:spacing w:after="140"/>
              <w:ind w:left="720" w:hanging="720"/>
              <w:jc w:val="both"/>
              <w:rPr>
                <w:rFonts w:eastAsia="Times New Roman" w:cs="Times New Roman"/>
                <w:color w:val="314163"/>
                <w:sz w:val="24"/>
                <w:szCs w:val="24"/>
                <w:lang w:eastAsia="vi-VN"/>
              </w:rPr>
            </w:pPr>
            <w:r w:rsidRPr="0024285F">
              <w:rPr>
                <w:rFonts w:eastAsia="Times New Roman" w:cs="Times New Roman"/>
                <w:b/>
                <w:bCs/>
                <w:color w:val="314163"/>
                <w:sz w:val="16"/>
                <w:szCs w:val="16"/>
                <w:lang w:eastAsia="vi-VN"/>
              </w:rPr>
              <w:t> </w:t>
            </w:r>
            <w:r w:rsidRPr="0024285F">
              <w:rPr>
                <w:rFonts w:eastAsia="Times New Roman" w:cs="Times New Roman"/>
                <w:color w:val="314163"/>
                <w:sz w:val="20"/>
                <w:szCs w:val="20"/>
                <w:lang w:eastAsia="vi-VN"/>
              </w:rPr>
              <w:t>         </w:t>
            </w:r>
          </w:p>
          <w:p w:rsidR="0024285F" w:rsidRPr="0024285F" w:rsidRDefault="0024285F" w:rsidP="0024285F">
            <w:pPr>
              <w:spacing w:after="140"/>
              <w:jc w:val="both"/>
              <w:rPr>
                <w:rFonts w:eastAsia="Times New Roman" w:cs="Times New Roman"/>
                <w:color w:val="314163"/>
                <w:sz w:val="24"/>
                <w:szCs w:val="24"/>
                <w:lang w:eastAsia="vi-VN"/>
              </w:rPr>
            </w:pPr>
            <w:r w:rsidRPr="0024285F">
              <w:rPr>
                <w:rFonts w:eastAsia="Times New Roman" w:cs="Times New Roman"/>
                <w:color w:val="314163"/>
                <w:sz w:val="20"/>
                <w:szCs w:val="20"/>
                <w:lang w:eastAsia="vi-VN"/>
              </w:rPr>
              <w:t>                                           </w:t>
            </w:r>
          </w:p>
        </w:tc>
        <w:tc>
          <w:tcPr>
            <w:tcW w:w="4397" w:type="dxa"/>
            <w:tcMar>
              <w:top w:w="0" w:type="dxa"/>
              <w:left w:w="108" w:type="dxa"/>
              <w:bottom w:w="0" w:type="dxa"/>
              <w:right w:w="108" w:type="dxa"/>
            </w:tcMar>
            <w:hideMark/>
          </w:tcPr>
          <w:p w:rsidR="0024285F" w:rsidRPr="0024285F" w:rsidRDefault="0024285F" w:rsidP="0024285F">
            <w:pPr>
              <w:spacing w:before="100" w:beforeAutospacing="1" w:after="100" w:afterAutospacing="1"/>
              <w:jc w:val="center"/>
              <w:outlineLvl w:val="1"/>
              <w:rPr>
                <w:rFonts w:ascii="Segoe UI" w:eastAsia="Times New Roman" w:hAnsi="Segoe UI" w:cs="Segoe UI"/>
                <w:color w:val="0072C6"/>
                <w:sz w:val="31"/>
                <w:szCs w:val="31"/>
                <w:lang w:eastAsia="vi-VN"/>
              </w:rPr>
            </w:pPr>
            <w:r w:rsidRPr="0024285F">
              <w:rPr>
                <w:rFonts w:ascii="Segoe UI" w:eastAsia="Times New Roman" w:hAnsi="Segoe UI" w:cs="Segoe UI"/>
                <w:color w:val="0072C6"/>
                <w:sz w:val="20"/>
                <w:szCs w:val="20"/>
                <w:lang w:eastAsia="vi-VN"/>
              </w:rPr>
              <w:t>CHỦ TỊCH</w:t>
            </w:r>
          </w:p>
          <w:p w:rsidR="0024285F" w:rsidRDefault="0024285F" w:rsidP="0024285F">
            <w:pPr>
              <w:spacing w:after="140"/>
              <w:jc w:val="center"/>
              <w:rPr>
                <w:rFonts w:eastAsia="Times New Roman" w:cs="Times New Roman"/>
                <w:color w:val="314163"/>
                <w:sz w:val="20"/>
                <w:szCs w:val="20"/>
                <w:lang w:val="en-US" w:eastAsia="vi-VN"/>
              </w:rPr>
            </w:pPr>
            <w:r w:rsidRPr="0024285F">
              <w:rPr>
                <w:rFonts w:eastAsia="Times New Roman" w:cs="Times New Roman"/>
                <w:color w:val="314163"/>
                <w:sz w:val="20"/>
                <w:szCs w:val="20"/>
                <w:lang w:eastAsia="vi-VN"/>
              </w:rPr>
              <w:t>(đã ký)</w:t>
            </w:r>
          </w:p>
          <w:p w:rsidR="0024285F" w:rsidRPr="0024285F" w:rsidRDefault="0024285F" w:rsidP="0024285F">
            <w:pPr>
              <w:spacing w:after="140"/>
              <w:jc w:val="center"/>
              <w:rPr>
                <w:rFonts w:eastAsia="Times New Roman" w:cs="Times New Roman"/>
                <w:color w:val="314163"/>
                <w:sz w:val="24"/>
                <w:szCs w:val="24"/>
                <w:lang w:val="en-US" w:eastAsia="vi-VN"/>
              </w:rPr>
            </w:pPr>
          </w:p>
          <w:p w:rsidR="0024285F" w:rsidRPr="0024285F" w:rsidRDefault="0024285F" w:rsidP="0024285F">
            <w:pPr>
              <w:spacing w:after="140"/>
              <w:jc w:val="center"/>
              <w:rPr>
                <w:rFonts w:eastAsia="Times New Roman" w:cs="Times New Roman"/>
                <w:color w:val="314163"/>
                <w:sz w:val="24"/>
                <w:szCs w:val="24"/>
                <w:lang w:eastAsia="vi-VN"/>
              </w:rPr>
            </w:pPr>
            <w:r w:rsidRPr="0024285F">
              <w:rPr>
                <w:rFonts w:eastAsia="Times New Roman" w:cs="Times New Roman"/>
                <w:b/>
                <w:bCs/>
                <w:color w:val="314163"/>
                <w:sz w:val="20"/>
                <w:szCs w:val="20"/>
                <w:lang w:eastAsia="vi-VN"/>
              </w:rPr>
              <w:t>   Nguyễn Mạnh Hiển</w:t>
            </w:r>
          </w:p>
        </w:tc>
      </w:tr>
    </w:tbl>
    <w:p w:rsidR="00E15D20" w:rsidRDefault="00E15D20"/>
    <w:sectPr w:rsidR="00E15D20" w:rsidSect="007810D5">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Light">
    <w:panose1 w:val="020B0502040204020203"/>
    <w:charset w:val="A3"/>
    <w:family w:val="swiss"/>
    <w:pitch w:val="variable"/>
    <w:sig w:usb0="E00002FF" w:usb1="4000A47B" w:usb2="00000001" w:usb3="00000000" w:csb0="0000019F"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40"/>
  <w:drawingGridVerticalSpacing w:val="381"/>
  <w:displayHorizontalDrawingGridEvery w:val="2"/>
  <w:characterSpacingControl w:val="doNotCompress"/>
  <w:compat/>
  <w:rsids>
    <w:rsidRoot w:val="0024285F"/>
    <w:rsid w:val="0024285F"/>
    <w:rsid w:val="007810D5"/>
    <w:rsid w:val="00E15D20"/>
    <w:rsid w:val="00EC63D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20"/>
  </w:style>
  <w:style w:type="paragraph" w:styleId="Heading1">
    <w:name w:val="heading 1"/>
    <w:basedOn w:val="Normal"/>
    <w:link w:val="Heading1Char"/>
    <w:uiPriority w:val="9"/>
    <w:qFormat/>
    <w:rsid w:val="0024285F"/>
    <w:pPr>
      <w:spacing w:before="100" w:beforeAutospacing="1" w:after="100" w:afterAutospacing="1"/>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24285F"/>
    <w:pPr>
      <w:spacing w:before="100" w:beforeAutospacing="1" w:after="100" w:afterAutospacing="1"/>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85F"/>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24285F"/>
    <w:rPr>
      <w:rFonts w:eastAsia="Times New Roman" w:cs="Times New Roman"/>
      <w:b/>
      <w:bCs/>
      <w:sz w:val="36"/>
      <w:szCs w:val="36"/>
      <w:lang w:eastAsia="vi-VN"/>
    </w:rPr>
  </w:style>
  <w:style w:type="character" w:styleId="Strong">
    <w:name w:val="Strong"/>
    <w:basedOn w:val="DefaultParagraphFont"/>
    <w:uiPriority w:val="22"/>
    <w:qFormat/>
    <w:rsid w:val="0024285F"/>
    <w:rPr>
      <w:b/>
      <w:bCs/>
    </w:rPr>
  </w:style>
</w:styles>
</file>

<file path=word/webSettings.xml><?xml version="1.0" encoding="utf-8"?>
<w:webSettings xmlns:r="http://schemas.openxmlformats.org/officeDocument/2006/relationships" xmlns:w="http://schemas.openxmlformats.org/wordprocessingml/2006/main">
  <w:divs>
    <w:div w:id="3851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2019-05-31T02:55:00Z</dcterms:created>
  <dcterms:modified xsi:type="dcterms:W3CDTF">2019-05-31T03:01:00Z</dcterms:modified>
</cp:coreProperties>
</file>